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October</w:t>
      </w:r>
      <w:r>
        <w:t xml:space="preserve"> </w:t>
      </w:r>
      <w:r>
        <w:t xml:space="preserve">21,</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(e.g. Musial and Holmes,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The downward trend in tenure-track positions during 2013-2019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adapted to online instruction and assessment in an effort to minimize the spread of the virus.</w:t>
      </w:r>
      <w:r>
        <w:t xml:space="preserve"> </w:t>
      </w: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been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universities tailored the content of the job ads to focus on topics where Black and Indigenous researchers are most numerous, ensuring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discrete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methods for compositional analysis.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in the past may have shifted attention away from the study of monumental architecture, elite societies, political hierarchies and state systems.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w:t>
      </w:r>
    </w:p>
    <w:p>
      <w:pPr>
        <w:pStyle w:val="BodyText"/>
      </w:pPr>
      <w:r>
        <w:t xml:space="preserve">Our data on the requirements for applicants shows that application complexity has gradually increased over time. This trend is especially pronounced for Assistant Professor positions which make more demands on applicants than Associate and Full Professor positions. We saw a growing demand for research and teaching statements. Demand for diversity statements shows a unique trajectory, peaking in 2020-2021 and declining into the present. This may relate to the intersecting concerns emerging during the COVID-19 pandemic, which have declined in job ads as the pandemic moves into the past. The decline in recent years for names of recommenders in the initial application may be a response to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do not show how these worked out in the topical and geographic foci of the people who were eventually hired.</w:t>
      </w:r>
    </w:p>
    <w:bookmarkEnd w:id="62"/>
    <w:bookmarkStart w:id="63" w:name="conclusion"/>
    <w:p>
      <w:pPr>
        <w:pStyle w:val="Heading1"/>
      </w:pPr>
      <w:r>
        <w:t xml:space="preserve">Conclusion</w:t>
      </w:r>
    </w:p>
    <w:bookmarkEnd w:id="63"/>
    <w:bookmarkStart w:id="64" w:name="acknowledgements"/>
    <w:p>
      <w:pPr>
        <w:pStyle w:val="Heading1"/>
      </w:pPr>
      <w:r>
        <w:t xml:space="preserve">Acknowledgements</w:t>
      </w:r>
    </w:p>
    <w:p>
      <w:r>
        <w:br w:type="page"/>
      </w:r>
    </w:p>
    <w:bookmarkEnd w:id="64"/>
    <w:bookmarkStart w:id="73" w:name="references"/>
    <w:p>
      <w:pPr>
        <w:pStyle w:val="Heading1"/>
      </w:pPr>
      <w:r>
        <w:t xml:space="preserve">References</w:t>
      </w:r>
    </w:p>
    <w:bookmarkStart w:id="71" w:name="refs"/>
    <w:bookmarkStart w:id="66"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5">
        <w:r>
          <w:rPr>
            <w:rStyle w:val="Hyperlink"/>
          </w:rPr>
          <w:t xml:space="preserve">https://doi.org/10.1017/aap.2022.8</w:t>
        </w:r>
      </w:hyperlink>
    </w:p>
    <w:bookmarkEnd w:id="66"/>
    <w:bookmarkStart w:id="68"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7">
        <w:r>
          <w:rPr>
            <w:rStyle w:val="Hyperlink"/>
          </w:rPr>
          <w:t xml:space="preserve">https://doi.org/10.1111/aman.13781</w:t>
        </w:r>
      </w:hyperlink>
    </w:p>
    <w:bookmarkEnd w:id="68"/>
    <w:bookmarkStart w:id="69"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69"/>
    <w:bookmarkStart w:id="70" w:name="ref-musial2018five"/>
    <w:p>
      <w:pPr>
        <w:pStyle w:val="Bibliography"/>
      </w:pPr>
      <w:r>
        <w:t xml:space="preserve">Musial, J., Holmes, C., 2018. Five-year study on hiring trends in gender, women’s, and feminist studies. Feminist Studies 44, 253–272.</w:t>
      </w:r>
    </w:p>
    <w:bookmarkEnd w:id="70"/>
    <w:bookmarkEnd w:id="71"/>
    <w:p>
      <w:r>
        <w:br w:type="page"/>
      </w:r>
    </w:p>
    <w:bookmarkStart w:id="72" w:name="colophon"/>
    <w:p>
      <w:pPr>
        <w:pStyle w:val="Heading3"/>
      </w:pPr>
      <w:r>
        <w:t xml:space="preserve">Colophon</w:t>
      </w:r>
    </w:p>
    <w:p>
      <w:pPr>
        <w:pStyle w:val="FirstParagraph"/>
      </w:pPr>
      <w:r>
        <w:t xml:space="preserve">This report was generated on 2024-10-21 22:25:19.460062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2024-10-21</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[98d9ca8] 2024-10-16: working on requirements</w:t>
      </w:r>
    </w:p>
    <w:bookmarkEnd w:id="72"/>
    <w:bookmarkEnd w:id="7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65" Target="https://doi.org/10.1017/aap.2022.8" TargetMode="External" /><Relationship Type="http://schemas.openxmlformats.org/officeDocument/2006/relationships/hyperlink" Id="rId67" Target="https://doi.org/10.1111/aman.13781"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65" Target="https://doi.org/10.1017/aap.2022.8" TargetMode="External" /><Relationship Type="http://schemas.openxmlformats.org/officeDocument/2006/relationships/hyperlink" Id="rId67" Target="https://doi.org/10.1111/aman.13781"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2024-10-22T05:25:24Z</dcterms:created>
  <dcterms:modified xsi:type="dcterms:W3CDTF">2024-10-22T05:25:24Z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21,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